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36</w:t>
      </w:r>
    </w:p>
    <w:p>
      <w:r>
        <w:t>Bundesgericht (BGE), 1994-02-04, IT</w:t>
      </w:r>
    </w:p>
    <w:p>
      <w:r>
        <w:rPr>
          <w:b/>
        </w:rPr>
        <w:t xml:space="preserve">Quelle: </w:t>
      </w:r>
      <w:r>
        <w:t>https://mcp.opencaselaw.ch/entscheid/bge_120 III 36</w:t>
      </w:r>
    </w:p>
    <w:p>
      <w:r>
        <w:t>FR: ATF 120 III 36</w:t>
      </w:r>
    </w:p>
    <w:p>
      <w:r>
        <w:t>IT: DTF 120 III 36</w:t>
      </w:r>
    </w:p>
    <w:p>
      <w:pPr>
        <w:pStyle w:val="Heading2"/>
      </w:pPr>
      <w:r>
        <w:t>Regeste</w:t>
      </w:r>
    </w:p>
    <w:p>
      <w:r>
        <w:t>Regeste Art. 260 SchKG; Abtretung einer Forderung nach Abschluss des Konkurses. Nach Abschluss des Konkursverfahrens kann eine Abtretung im Sinne von Art. 260 SchKG nur im Rahmen von Art. 269 SchKG stattfinden.</w:t>
      </w:r>
    </w:p>
    <w:p>
      <w:pPr>
        <w:pStyle w:val="Heading2"/>
      </w:pPr>
      <w:r>
        <w:t>Erwägungen</w:t>
      </w:r>
    </w:p>
    <w:p>
      <w:r>
        <w:rPr>
          <w:b/>
        </w:rPr>
        <w:t>E. 2</w:t>
      </w:r>
    </w:p>
    <w:p>
      <w:r>
        <w:t>(Presupposti di un fallimento successivo ai sensi dell' art. 269 LEF non adempiuti nella fattispecie). BGE 120 III 36 S. 38</w:t>
      </w:r>
    </w:p>
    <w:p>
      <w:r>
        <w:rPr>
          <w:b/>
        </w:rPr>
        <w:t>E. 3</w:t>
      </w:r>
    </w:p>
    <w:p>
      <w:r>
        <w:t>In linea di principio ogni creditore ha, durante la procedura di fallimento, il diritto di chiedere che una pretesa inerente a un'azione revocatoria, che non è stata oggetto di una decisione dell'adunanza dei creditori, sia sottoposta a quest'ultima per deliberazione (cfr. DTF 77 III 85 consid. 3; Blätter für Schuldbetreibung und Konkurs 1981, pag. 150 consid. 4). Qualora la seconda adunanza dei creditori non ha potere deliberante per carenza del quorum richiesto, i creditori possono anche essere interpellati per il tramite di una circolare ( DTF 86 III 26 , DTF 71 III 133 ; FRITZSCHE/WALDER, Schuldbetreibung und Konkurs nach schweizerischem Recht, vol. II, 1993, § 51 n. 28). Tuttavia con la chiusura del fallimento la competenza dell'amministrazione del fallimento risp. dell'Ufficio fallimenti a compiere atti amministrativi si estingue quasi totalmente, continuando a sussistere unicamente nei limiti previsti dall' art. 269 LEF , e cioè con riferimento ai beni scoperti dopo la chiusura del fallimento. Non è pertanto possibile cedere, a procedura terminata, beni di cui si era già a conoscenza anteriormente ( DTF 48 III 15 consid. 3). In concreto è pacifico che la cessione dell'azione revocatoria contro il ricorrente, avvenuta il 15 dicembre 1988, quando la procedura di fallimento era ancora in corso e senza che i creditori abbiano potuto pronunciarsi in merito, è nulla ( DTF 118 III 59 consid. 4 e rinvii). Come tale essa non ha mai esplicato alcun effetto e non può nemmeno essere sanata successivamente ( DTF 117 III 43 consid. 5). Non è neppure controverso che con decreto 23 ottobre 1989 il Pretore della giurisdizione di Z ha chiuso il fallimento di K-F. Dagli atti risulta poi che la procedura formalmente corretta di interpellare, mediante una circolare, la massa sulla rinuncia di far valere l'azione revocatoria contro il ricorrente con la seguente decisione di cedere, giusta l' art. 260 LEF , la pretesa a due creditrici è stata iniziata unicamente il 28 settembre 1992. In quel momento però, ossia quasi 3 anni dopo la chiusura del fallimento, l'Ufficio fallimenti non aveva più tale competenza e non poteva quindi validamente operare una cessione dell'azione in questione. Ne discende che il ricorso dev'essere accolto. Poiché il ricorrente ha impugnato la cessione del 30 ottobre 1992 entro il termine di 10 giorni previsto dall' art. 19 LEF , può essere lasciata indecisa la questione di sapere se essa è nulla o semplicemente annullabile.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